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ascii="Times New Roman"/>
          <w:color w:val="000000"/>
          <w:spacing w:val="0"/>
          <w:sz w:val="32"/>
        </w:rPr>
      </w:pPr>
      <w:r>
        <w:rPr>
          <w:rFonts w:ascii="仿宋" w:hAnsi="仿宋" w:cs="仿宋"/>
          <w:color w:val="000000"/>
          <w:spacing w:val="0"/>
          <w:sz w:val="32"/>
        </w:rPr>
        <w:t>附件：</w:t>
      </w:r>
    </w:p>
    <w:p>
      <w:pPr>
        <w:keepNext w:val="0"/>
        <w:keepLines w:val="0"/>
        <w:pageBreakBefore w:val="0"/>
        <w:widowControl/>
        <w:kinsoku/>
        <w:wordWrap/>
        <w:overflowPunct/>
        <w:topLinePunct w:val="0"/>
        <w:autoSpaceDE/>
        <w:autoSpaceDN/>
        <w:bidi w:val="0"/>
        <w:adjustRightInd/>
        <w:snapToGrid/>
        <w:spacing w:before="154" w:after="63" w:afterLines="20" w:line="240" w:lineRule="exact"/>
        <w:ind w:left="3317" w:right="0" w:firstLine="883" w:firstLineChars="200"/>
        <w:jc w:val="left"/>
        <w:textAlignment w:val="auto"/>
        <w:rPr>
          <w:rFonts w:ascii="ADPPJN+FZXBSJW--GB1-0" w:hAnsi="ADPPJN+FZXBSJW--GB1-0" w:cs="ADPPJN+FZXBSJW--GB1-0"/>
          <w:b/>
          <w:bCs/>
          <w:color w:val="000000"/>
          <w:spacing w:val="0"/>
          <w:sz w:val="44"/>
        </w:rPr>
      </w:pPr>
      <w:r>
        <w:rPr>
          <w:rFonts w:hint="eastAsia" w:ascii="ADPPJN+FZXBSJW--GB1-0" w:hAnsi="ADPPJN+FZXBSJW--GB1-0" w:cs="ADPPJN+FZXBSJW--GB1-0"/>
          <w:b/>
          <w:bCs/>
          <w:color w:val="000000"/>
          <w:spacing w:val="0"/>
          <w:sz w:val="44"/>
          <w:lang w:eastAsia="zh-CN"/>
        </w:rPr>
        <w:t>“</w:t>
      </w:r>
      <w:r>
        <w:rPr>
          <w:rFonts w:ascii="ADPPJN+FZXBSJW--GB1-0" w:hAnsi="ADPPJN+FZXBSJW--GB1-0" w:cs="ADPPJN+FZXBSJW--GB1-0"/>
          <w:b/>
          <w:bCs/>
          <w:color w:val="000000"/>
          <w:spacing w:val="0"/>
          <w:sz w:val="44"/>
        </w:rPr>
        <w:t>安康杯</w:t>
      </w:r>
      <w:r>
        <w:rPr>
          <w:rFonts w:hint="eastAsia" w:ascii="ADPPJN+FZXBSJW--GB1-0" w:hAnsi="ADPPJN+FZXBSJW--GB1-0" w:cs="ADPPJN+FZXBSJW--GB1-0"/>
          <w:b/>
          <w:bCs/>
          <w:color w:val="000000"/>
          <w:spacing w:val="0"/>
          <w:sz w:val="44"/>
          <w:lang w:eastAsia="zh-CN"/>
        </w:rPr>
        <w:t>”</w:t>
      </w:r>
      <w:r>
        <w:rPr>
          <w:rFonts w:ascii="ADPPJN+FZXBSJW--GB1-0" w:hAnsi="ADPPJN+FZXBSJW--GB1-0" w:cs="ADPPJN+FZXBSJW--GB1-0"/>
          <w:b/>
          <w:bCs/>
          <w:color w:val="000000"/>
          <w:spacing w:val="0"/>
          <w:sz w:val="44"/>
        </w:rPr>
        <w:t>竞赛考核评分表</w:t>
      </w:r>
    </w:p>
    <w:tbl>
      <w:tblPr>
        <w:tblStyle w:val="5"/>
        <w:tblpPr w:leftFromText="180" w:rightFromText="180" w:vertAnchor="page" w:horzAnchor="page" w:tblpX="1611" w:tblpY="3196"/>
        <w:tblOverlap w:val="never"/>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105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bCs/>
                <w:sz w:val="28"/>
                <w:szCs w:val="28"/>
                <w:vertAlign w:val="baseline"/>
              </w:rPr>
            </w:pPr>
            <w:r>
              <w:rPr>
                <w:rFonts w:hint="eastAsia" w:ascii="宋体" w:hAnsi="宋体" w:eastAsia="宋体" w:cs="宋体"/>
                <w:b/>
                <w:bCs/>
                <w:color w:val="000000"/>
                <w:spacing w:val="0"/>
                <w:sz w:val="28"/>
                <w:szCs w:val="28"/>
              </w:rPr>
              <w:t>考核项目</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bCs/>
                <w:sz w:val="28"/>
                <w:szCs w:val="28"/>
                <w:vertAlign w:val="baseline"/>
              </w:rPr>
            </w:pPr>
            <w:r>
              <w:rPr>
                <w:rFonts w:hint="eastAsia" w:ascii="宋体" w:hAnsi="宋体" w:eastAsia="宋体" w:cs="宋体"/>
                <w:b/>
                <w:bCs/>
                <w:color w:val="000000"/>
                <w:spacing w:val="0"/>
                <w:sz w:val="28"/>
                <w:szCs w:val="28"/>
              </w:rPr>
              <w:t>考核内容</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bCs/>
                <w:sz w:val="28"/>
                <w:szCs w:val="28"/>
                <w:vertAlign w:val="baseline"/>
              </w:rPr>
            </w:pPr>
            <w:r>
              <w:rPr>
                <w:rFonts w:hint="eastAsia" w:ascii="宋体" w:hAnsi="宋体" w:eastAsia="宋体" w:cs="宋体"/>
                <w:b/>
                <w:bCs/>
                <w:color w:val="000000"/>
                <w:spacing w:val="1"/>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firstLine="426" w:firstLineChars="200"/>
              <w:jc w:val="both"/>
              <w:textAlignment w:val="auto"/>
              <w:rPr>
                <w:rFonts w:hint="eastAsia" w:ascii="仿宋" w:hAnsi="仿宋" w:eastAsia="仿宋" w:cs="仿宋"/>
                <w:b/>
                <w:bCs/>
                <w:color w:val="000000"/>
                <w:spacing w:val="1"/>
                <w:sz w:val="21"/>
                <w:szCs w:val="21"/>
              </w:rPr>
            </w:pPr>
            <w:r>
              <w:rPr>
                <w:rFonts w:hint="eastAsia" w:ascii="仿宋" w:hAnsi="仿宋" w:eastAsia="仿宋" w:cs="仿宋"/>
                <w:b/>
                <w:bCs/>
                <w:color w:val="000000"/>
                <w:spacing w:val="1"/>
                <w:sz w:val="21"/>
                <w:szCs w:val="21"/>
              </w:rPr>
              <w:t>组织领导</w:t>
            </w:r>
          </w:p>
          <w:p>
            <w:pPr>
              <w:keepNext w:val="0"/>
              <w:keepLines w:val="0"/>
              <w:pageBreakBefore w:val="0"/>
              <w:widowControl/>
              <w:kinsoku/>
              <w:wordWrap/>
              <w:overflowPunct/>
              <w:topLinePunct w:val="0"/>
              <w:autoSpaceDE/>
              <w:autoSpaceDN/>
              <w:bidi w:val="0"/>
              <w:adjustRightInd/>
              <w:snapToGrid/>
              <w:spacing w:before="0" w:after="0" w:line="300" w:lineRule="exact"/>
              <w:ind w:right="0" w:firstLine="418" w:firstLineChars="200"/>
              <w:jc w:val="both"/>
              <w:textAlignment w:val="auto"/>
              <w:rPr>
                <w:rFonts w:hint="eastAsia" w:ascii="仿宋" w:hAnsi="仿宋" w:eastAsia="仿宋" w:cs="仿宋"/>
                <w:b/>
                <w:bCs/>
                <w:sz w:val="21"/>
                <w:szCs w:val="21"/>
                <w:vertAlign w:val="baseline"/>
              </w:rPr>
            </w:pPr>
            <w:r>
              <w:rPr>
                <w:rFonts w:hint="eastAsia" w:ascii="仿宋" w:hAnsi="仿宋" w:eastAsia="仿宋" w:cs="仿宋"/>
                <w:b/>
                <w:bCs/>
                <w:color w:val="000000"/>
                <w:spacing w:val="-1"/>
                <w:sz w:val="21"/>
                <w:szCs w:val="21"/>
              </w:rPr>
              <w:t>（7</w:t>
            </w:r>
            <w:r>
              <w:rPr>
                <w:rFonts w:hint="eastAsia" w:ascii="仿宋" w:hAnsi="仿宋" w:eastAsia="仿宋" w:cs="仿宋"/>
                <w:b/>
                <w:bCs/>
                <w:color w:val="000000"/>
                <w:spacing w:val="1"/>
                <w:sz w:val="21"/>
                <w:szCs w:val="21"/>
              </w:rPr>
              <w:t>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color w:val="000000"/>
                <w:spacing w:val="0"/>
                <w:sz w:val="21"/>
                <w:szCs w:val="21"/>
              </w:rPr>
              <w:t>竞赛组织机构健全（3</w:t>
            </w:r>
            <w:r>
              <w:rPr>
                <w:rFonts w:hint="eastAsia" w:ascii="仿宋" w:hAnsi="仿宋" w:eastAsia="仿宋" w:cs="仿宋"/>
                <w:color w:val="000000"/>
                <w:spacing w:val="-9"/>
                <w:sz w:val="21"/>
                <w:szCs w:val="21"/>
              </w:rPr>
              <w:t>分），主要领导任“安康杯”竞赛组委会主任。（2</w:t>
            </w:r>
            <w:r>
              <w:rPr>
                <w:rFonts w:hint="eastAsia" w:ascii="仿宋" w:hAnsi="仿宋" w:eastAsia="仿宋" w:cs="仿宋"/>
                <w:color w:val="000000"/>
                <w:spacing w:val="-1"/>
                <w:sz w:val="21"/>
                <w:szCs w:val="21"/>
              </w:rPr>
              <w:t>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center"/>
              <w:textAlignment w:val="auto"/>
              <w:rPr>
                <w:rFonts w:hint="eastAsia" w:ascii="仿宋" w:hAnsi="仿宋" w:eastAsia="仿宋" w:cs="仿宋"/>
                <w:b/>
                <w:bCs/>
                <w:sz w:val="21"/>
                <w:szCs w:val="21"/>
                <w:vertAlign w:val="baseline"/>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竞赛活动有计划、部署、方案、组织、检查、评比、表彰、奖励。（2分）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组织开展安全生产法规学习 、 培训 、 教育 、宣传</w:t>
            </w:r>
          </w:p>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（18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深入宣传贯彻习近平总书记关于安全生产和职业病防治工作的重要论述，广泛宣传《劳动法》《工会法》《安全生产法》《职业病防治法》《中共中央 国务院关于推进安全生产领域改革发展的意见》等相关法律法规和政策。（5分）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0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center"/>
              <w:textAlignment w:val="auto"/>
              <w:rPr>
                <w:rFonts w:hint="eastAsia" w:ascii="仿宋" w:hAnsi="仿宋" w:eastAsia="仿宋" w:cs="仿宋"/>
                <w:b/>
                <w:bCs/>
                <w:sz w:val="21"/>
                <w:szCs w:val="21"/>
                <w:vertAlign w:val="baseline"/>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组织开展安全生产和职业健康业务知识培训；提升职工应急处理能力和安全意识的提升。（3分）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0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center"/>
              <w:textAlignment w:val="auto"/>
              <w:rPr>
                <w:rFonts w:hint="eastAsia" w:ascii="仿宋" w:hAnsi="仿宋" w:eastAsia="仿宋" w:cs="仿宋"/>
                <w:b/>
                <w:bCs/>
                <w:sz w:val="21"/>
                <w:szCs w:val="21"/>
                <w:vertAlign w:val="baseline"/>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把</w:t>
            </w:r>
            <w:r>
              <w:rPr>
                <w:rFonts w:hint="eastAsia" w:ascii="仿宋" w:hAnsi="仿宋" w:eastAsia="仿宋" w:cs="仿宋"/>
                <w:sz w:val="21"/>
                <w:szCs w:val="21"/>
                <w:vertAlign w:val="baseline"/>
              </w:rPr>
              <w:t>安全文化建设和健康企业建设融入企业整体文化建设中，有针对性开展宣传培训、操作演练、亲情教育、警示教育等安全健康文化活动。（4分）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center"/>
              <w:textAlignment w:val="auto"/>
              <w:rPr>
                <w:rFonts w:hint="eastAsia" w:ascii="仿宋" w:hAnsi="仿宋" w:eastAsia="仿宋" w:cs="仿宋"/>
                <w:b/>
                <w:bCs/>
                <w:sz w:val="21"/>
                <w:szCs w:val="21"/>
                <w:vertAlign w:val="baseline"/>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建立安全卫生宣传教室或安全文化长廊，悬挂安全卫生警示牌、提示卡，张贴安全卫生宣传画、横幅、标语、警示语等。（3分）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0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center"/>
              <w:textAlignment w:val="auto"/>
              <w:rPr>
                <w:rFonts w:hint="eastAsia" w:ascii="仿宋" w:hAnsi="仿宋" w:eastAsia="仿宋" w:cs="仿宋"/>
                <w:b/>
                <w:bCs/>
                <w:sz w:val="21"/>
                <w:szCs w:val="21"/>
                <w:vertAlign w:val="baseline"/>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积极参加全国“安全生产月”和“安全生产万里行”和《职业病防治法》《安全生产法》宣传周等活动。（3分）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0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211" w:firstLineChars="100"/>
              <w:jc w:val="both"/>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班组安全建设</w:t>
            </w:r>
          </w:p>
          <w:p>
            <w:pPr>
              <w:keepNext w:val="0"/>
              <w:keepLines w:val="0"/>
              <w:pageBreakBefore w:val="0"/>
              <w:widowControl/>
              <w:kinsoku/>
              <w:wordWrap/>
              <w:overflowPunct/>
              <w:topLinePunct w:val="0"/>
              <w:autoSpaceDE/>
              <w:autoSpaceDN/>
              <w:bidi w:val="0"/>
              <w:adjustRightInd/>
              <w:snapToGrid/>
              <w:spacing w:before="0" w:after="0" w:line="300" w:lineRule="exact"/>
              <w:ind w:firstLine="422" w:firstLineChars="200"/>
              <w:jc w:val="both"/>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（10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重视企业班组安全建设，通过班组日常教育、温情教育和警示教育等，广泛开展班组安全宣传教育活动。（6分）组织开展班组安全技能培训、安全生产合理化建议、安全管理优秀成果展示等班组安全文化活动。（4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211" w:firstLineChars="100"/>
              <w:jc w:val="both"/>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安全生产和</w:t>
            </w:r>
            <w:r>
              <w:rPr>
                <w:rFonts w:hint="eastAsia" w:ascii="仿宋" w:hAnsi="仿宋" w:eastAsia="仿宋" w:cs="仿宋"/>
                <w:b/>
                <w:bCs/>
                <w:sz w:val="21"/>
                <w:szCs w:val="21"/>
                <w:vertAlign w:val="baseline"/>
                <w:lang w:eastAsia="zh-CN"/>
              </w:rPr>
              <w:t>职</w:t>
            </w:r>
            <w:r>
              <w:rPr>
                <w:rFonts w:hint="eastAsia" w:ascii="仿宋" w:hAnsi="仿宋" w:eastAsia="仿宋" w:cs="仿宋"/>
                <w:b/>
                <w:bCs/>
                <w:sz w:val="21"/>
                <w:szCs w:val="21"/>
                <w:vertAlign w:val="baseline"/>
              </w:rPr>
              <w:t>业</w:t>
            </w:r>
          </w:p>
          <w:p>
            <w:pPr>
              <w:keepNext w:val="0"/>
              <w:keepLines w:val="0"/>
              <w:pageBreakBefore w:val="0"/>
              <w:widowControl/>
              <w:kinsoku/>
              <w:wordWrap/>
              <w:overflowPunct/>
              <w:topLinePunct w:val="0"/>
              <w:autoSpaceDE/>
              <w:autoSpaceDN/>
              <w:bidi w:val="0"/>
              <w:adjustRightInd/>
              <w:snapToGrid/>
              <w:spacing w:before="0" w:after="0" w:line="300" w:lineRule="exact"/>
              <w:ind w:firstLine="422" w:firstLineChars="200"/>
              <w:jc w:val="both"/>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健康管理</w:t>
            </w:r>
          </w:p>
          <w:p>
            <w:pPr>
              <w:keepNext w:val="0"/>
              <w:keepLines w:val="0"/>
              <w:pageBreakBefore w:val="0"/>
              <w:widowControl/>
              <w:kinsoku/>
              <w:wordWrap/>
              <w:overflowPunct/>
              <w:topLinePunct w:val="0"/>
              <w:autoSpaceDE/>
              <w:autoSpaceDN/>
              <w:bidi w:val="0"/>
              <w:adjustRightInd/>
              <w:snapToGrid/>
              <w:spacing w:before="0" w:after="0" w:line="300" w:lineRule="exact"/>
              <w:ind w:firstLine="422" w:firstLineChars="200"/>
              <w:jc w:val="both"/>
              <w:textAlignment w:val="auto"/>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（20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0" w:firstLineChars="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安全生产和职业健康管理机构健全，有专、兼职安全人员并形成网络（2分），安全生产和职业健康管理有计划，有具体实施方案。（2分）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vertAlign w:val="baseline"/>
              </w:rPr>
            </w:pPr>
          </w:p>
        </w:tc>
      </w:tr>
    </w:tbl>
    <w:p>
      <w:pPr>
        <w:keepNext w:val="0"/>
        <w:keepLines w:val="0"/>
        <w:pageBreakBefore w:val="0"/>
        <w:widowControl/>
        <w:kinsoku/>
        <w:wordWrap/>
        <w:overflowPunct/>
        <w:topLinePunct w:val="0"/>
        <w:autoSpaceDE/>
        <w:autoSpaceDN/>
        <w:bidi w:val="0"/>
        <w:adjustRightInd/>
        <w:snapToGrid/>
        <w:spacing w:before="154" w:after="0" w:line="240" w:lineRule="exact"/>
        <w:ind w:right="0"/>
        <w:jc w:val="left"/>
        <w:textAlignment w:val="auto"/>
        <w:rPr>
          <w:rFonts w:hint="eastAsia" w:ascii="宋体" w:hAnsi="宋体" w:eastAsia="宋体" w:cs="宋体"/>
          <w:color w:val="000000"/>
          <w:spacing w:val="0"/>
          <w:sz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000000"/>
          <w:spacing w:val="0"/>
          <w:sz w:val="32"/>
        </w:rPr>
        <w:t>考核单位：</w:t>
      </w:r>
      <w:r>
        <w:rPr>
          <w:rFonts w:hint="eastAsia" w:ascii="宋体" w:hAnsi="宋体" w:eastAsia="宋体" w:cs="宋体"/>
          <w:color w:val="000000"/>
          <w:spacing w:val="0"/>
          <w:sz w:val="32"/>
          <w:lang w:val="en-US" w:eastAsia="zh-CN"/>
        </w:rPr>
        <w:t xml:space="preserve">                                               </w:t>
      </w:r>
      <w:r>
        <w:rPr>
          <w:rFonts w:hint="eastAsia" w:ascii="宋体" w:hAnsi="宋体" w:eastAsia="宋体" w:cs="宋体"/>
          <w:color w:val="000000"/>
          <w:spacing w:val="0"/>
          <w:sz w:val="32"/>
        </w:rPr>
        <w:t>考核时间：</w:t>
      </w:r>
      <w:r>
        <w:rPr>
          <w:rFonts w:hint="eastAsia" w:ascii="宋体" w:hAnsi="宋体" w:eastAsia="宋体" w:cs="宋体"/>
          <w:color w:val="000000"/>
          <w:spacing w:val="402"/>
          <w:sz w:val="32"/>
        </w:rPr>
        <w:t xml:space="preserve"> </w:t>
      </w:r>
      <w:r>
        <w:rPr>
          <w:rFonts w:hint="eastAsia" w:ascii="宋体" w:hAnsi="宋体" w:eastAsia="宋体" w:cs="宋体"/>
          <w:color w:val="000000"/>
          <w:spacing w:val="0"/>
          <w:sz w:val="32"/>
        </w:rPr>
        <w:t>年</w:t>
      </w:r>
      <w:r>
        <w:rPr>
          <w:rFonts w:hint="eastAsia" w:ascii="宋体" w:hAnsi="宋体" w:eastAsia="宋体" w:cs="宋体"/>
          <w:color w:val="000000"/>
          <w:spacing w:val="241"/>
          <w:sz w:val="32"/>
        </w:rPr>
        <w:t xml:space="preserve"> </w:t>
      </w:r>
      <w:r>
        <w:rPr>
          <w:rFonts w:hint="eastAsia" w:ascii="宋体" w:hAnsi="宋体" w:eastAsia="宋体" w:cs="宋体"/>
          <w:color w:val="000000"/>
          <w:spacing w:val="0"/>
          <w:sz w:val="32"/>
        </w:rPr>
        <w:t>月</w:t>
      </w:r>
      <w:r>
        <w:rPr>
          <w:rFonts w:hint="eastAsia" w:ascii="宋体" w:hAnsi="宋体" w:eastAsia="宋体" w:cs="宋体"/>
          <w:color w:val="000000"/>
          <w:spacing w:val="238"/>
          <w:sz w:val="32"/>
        </w:rPr>
        <w:t xml:space="preserve"> </w:t>
      </w:r>
      <w:r>
        <w:rPr>
          <w:rFonts w:hint="eastAsia" w:ascii="宋体" w:hAnsi="宋体" w:eastAsia="宋体" w:cs="宋体"/>
          <w:color w:val="000000"/>
          <w:spacing w:val="0"/>
          <w:sz w:val="32"/>
        </w:rPr>
        <w:t>日</w:t>
      </w:r>
    </w:p>
    <w:tbl>
      <w:tblPr>
        <w:tblStyle w:val="5"/>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05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10"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建立全员安全生产责任制度，（2分）明确各岗位安全生产职责，（2分）建立教育培训档案和安全生产责任制管理考核制度，健全激励约束机制，激发全员参与安全生产工作的积极性和主动性。(2分）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把劳动安全卫生条款列入平等协商、签订集体合同内容并严格执行（属高危行业必须签订劳动安全卫生专项集体合同）。 （1 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建立健全职业卫生管理制度和操作规程，建立健全职业卫生档案和劳动者健康监护档案。（2分）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组织接触职业病危害的劳动者进行上岗前、在岗期间和离岗时的职业健康检查，并将检查结果告知劳动者。（2 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按照规定及时、如实向卫生行政部门申报职业病危害项目。（2分）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个人劳动和职业病防护用品符合标准，配备齐全，并按规定严格检查。（1分）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安全装置齐全有效，设备完好率 100％， 消防设备与器材齐全，有专人负责，并定期检查和保养。（1分）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认真做好夏季防暑降温工作。（1分）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群众监督</w:t>
            </w:r>
          </w:p>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 20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认真贯彻工会劳动保护监督检查“三个条例”，健全三级工会劳动保护监督检查网络，加强工会劳动保护监督检查员考核及管理。（5分）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开展经常性的事故隐患和职业病危害源点排查，并进行分级管理，及时整改，（3分）建立企业重大隐患治理情况向负有安全生产监督管理职责的部门和企业职代会“双报告”制度。（2分）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积极配合消防救援机构（1 分）及交管部门（1 分）做好职工的消防及交通安全教育和管理。企业职工没有发生过严重违章事故。（2 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重视职工健康权益保护工作，开展群众性职业卫生监督检查活动。（3分）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0"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重视女工劳动保护，认真做好女职工“四期”保护。（3分）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事故控制</w:t>
            </w:r>
          </w:p>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（25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1"/>
                <w:szCs w:val="21"/>
                <w:vertAlign w:val="baseline"/>
                <w:lang w:val="en-US" w:eastAsia="zh-CN"/>
              </w:rPr>
              <w:t>未发生重特大事故。（25分）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组织宣传</w:t>
            </w:r>
          </w:p>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b/>
                <w:bCs/>
                <w:color w:val="000000"/>
                <w:spacing w:val="0"/>
                <w:sz w:val="21"/>
                <w:szCs w:val="21"/>
                <w:vertAlign w:val="baseline"/>
                <w:lang w:val="en-US" w:eastAsia="zh-CN"/>
              </w:rPr>
            </w:pPr>
            <w:r>
              <w:rPr>
                <w:rFonts w:hint="eastAsia" w:ascii="仿宋" w:hAnsi="仿宋" w:eastAsia="仿宋" w:cs="仿宋"/>
                <w:b/>
                <w:bCs/>
                <w:color w:val="000000"/>
                <w:spacing w:val="0"/>
                <w:sz w:val="21"/>
                <w:szCs w:val="21"/>
                <w:vertAlign w:val="baseline"/>
                <w:lang w:val="en-US" w:eastAsia="zh-CN"/>
              </w:rPr>
              <w:t>（10 分）</w:t>
            </w:r>
          </w:p>
        </w:tc>
        <w:tc>
          <w:tcPr>
            <w:tcW w:w="10500"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sz w:val="21"/>
                <w:szCs w:val="21"/>
              </w:rPr>
              <w:t>组织开展</w:t>
            </w:r>
            <w:bookmarkStart w:id="0" w:name="_GoBack"/>
            <w:bookmarkEnd w:id="0"/>
            <w:r>
              <w:rPr>
                <w:rFonts w:hint="eastAsia" w:ascii="仿宋" w:hAnsi="仿宋" w:eastAsia="仿宋" w:cs="仿宋"/>
                <w:sz w:val="21"/>
                <w:szCs w:val="21"/>
              </w:rPr>
              <w:t>“安康杯”知识竞赛活动</w:t>
            </w:r>
            <w:r>
              <w:rPr>
                <w:rFonts w:hint="eastAsia" w:ascii="仿宋" w:hAnsi="仿宋" w:eastAsia="仿宋" w:cs="仿宋"/>
                <w:sz w:val="21"/>
                <w:szCs w:val="21"/>
                <w:lang w:eastAsia="zh-CN"/>
              </w:rPr>
              <w:t>进</w:t>
            </w:r>
            <w:r>
              <w:rPr>
                <w:rFonts w:hint="eastAsia" w:ascii="仿宋" w:hAnsi="仿宋" w:eastAsia="仿宋" w:cs="仿宋"/>
                <w:sz w:val="21"/>
                <w:szCs w:val="21"/>
              </w:rPr>
              <w:t>集团及以上媒体</w:t>
            </w:r>
            <w:r>
              <w:rPr>
                <w:rFonts w:hint="eastAsia" w:ascii="仿宋" w:hAnsi="仿宋" w:eastAsia="仿宋" w:cs="仿宋"/>
                <w:color w:val="000000"/>
                <w:spacing w:val="0"/>
                <w:sz w:val="21"/>
                <w:szCs w:val="21"/>
                <w:vertAlign w:val="baseline"/>
                <w:lang w:val="en-US" w:eastAsia="zh-CN"/>
              </w:rPr>
              <w:t>（10分）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0"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Fonts w:hint="eastAsia" w:ascii="仿宋" w:hAnsi="仿宋" w:eastAsia="仿宋" w:cs="仿宋"/>
                <w:color w:val="000000"/>
                <w:spacing w:val="0"/>
                <w:sz w:val="21"/>
                <w:szCs w:val="21"/>
                <w:vertAlign w:val="baseline"/>
                <w:lang w:val="en-US" w:eastAsia="zh-CN"/>
              </w:rPr>
            </w:pPr>
            <w:r>
              <w:rPr>
                <w:rFonts w:hint="eastAsia" w:ascii="仿宋" w:hAnsi="仿宋" w:eastAsia="仿宋" w:cs="仿宋"/>
                <w:color w:val="000000"/>
                <w:spacing w:val="0"/>
                <w:sz w:val="24"/>
                <w:szCs w:val="24"/>
                <w:vertAlign w:val="baseline"/>
                <w:lang w:val="en-US" w:eastAsia="zh-CN"/>
              </w:rPr>
              <w:t>总 得 分</w:t>
            </w:r>
          </w:p>
        </w:tc>
        <w:tc>
          <w:tcPr>
            <w:tcW w:w="1335" w:type="dxa"/>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right="0"/>
              <w:jc w:val="center"/>
              <w:textAlignment w:val="auto"/>
              <w:rPr>
                <w:rFonts w:hint="eastAsia" w:ascii="仿宋" w:hAnsi="仿宋" w:eastAsia="仿宋" w:cs="仿宋"/>
                <w:color w:val="000000"/>
                <w:spacing w:val="0"/>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auto"/>
        <w:rPr>
          <w:rFonts w:hint="eastAsia" w:ascii="仿宋" w:hAnsi="仿宋" w:eastAsia="仿宋" w:cs="仿宋"/>
          <w:color w:val="000000"/>
          <w:spacing w:val="0"/>
          <w:sz w:val="21"/>
          <w:szCs w:val="21"/>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pacing w:val="0"/>
          <w:sz w:val="21"/>
          <w:szCs w:val="21"/>
          <w:lang w:val="en-US" w:eastAsia="zh-CN"/>
        </w:rPr>
        <w:t>注：*为额外加分项</w:t>
      </w:r>
    </w:p>
    <w:p>
      <w:pPr>
        <w:keepNext w:val="0"/>
        <w:keepLines w:val="0"/>
        <w:pageBreakBefore w:val="0"/>
        <w:widowControl/>
        <w:kinsoku/>
        <w:wordWrap/>
        <w:overflowPunct/>
        <w:topLinePunct w:val="0"/>
        <w:autoSpaceDE/>
        <w:autoSpaceDN/>
        <w:bidi w:val="0"/>
        <w:adjustRightInd/>
        <w:snapToGrid/>
        <w:spacing w:before="154" w:after="0" w:line="240" w:lineRule="exact"/>
        <w:ind w:right="0"/>
        <w:jc w:val="left"/>
        <w:textAlignment w:val="auto"/>
        <w:rPr>
          <w:rFonts w:ascii="ADPPJN+FZXBSJW--GB1-0" w:hAnsi="ADPPJN+FZXBSJW--GB1-0" w:cs="ADPPJN+FZXBSJW--GB1-0"/>
          <w:color w:val="000000"/>
          <w:spacing w:val="0"/>
          <w:sz w:val="44"/>
        </w:rPr>
      </w:pPr>
      <w:r>
        <w:rPr>
          <w:rFonts w:hint="eastAsia" w:ascii="ODPBPI+FangSong_GB2312" w:hAnsi="ODPBPI+FangSong_GB2312" w:cs="ODPBPI+FangSong_GB2312"/>
          <w:color w:val="000000"/>
          <w:spacing w:val="0"/>
          <w:sz w:val="32"/>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DPPJN+FZXBSJW--GB1-0">
    <w:altName w:val="Vrinda"/>
    <w:panose1 w:val="02000500000000000000"/>
    <w:charset w:val="01"/>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ODPBPI+FangSong_GB2312">
    <w:altName w:val="Vrinda"/>
    <w:panose1 w:val="02000500000000000000"/>
    <w:charset w:val="01"/>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D70C5"/>
    <w:rsid w:val="186D70C5"/>
    <w:rsid w:val="21812B75"/>
    <w:rsid w:val="2BE24ECC"/>
    <w:rsid w:val="30EB0928"/>
    <w:rsid w:val="3F225D0E"/>
    <w:rsid w:val="4A6E00BD"/>
    <w:rsid w:val="4D525D4F"/>
    <w:rsid w:val="4DE10F70"/>
    <w:rsid w:val="6C4346C8"/>
    <w:rsid w:val="708A332C"/>
    <w:rsid w:val="7BF1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2021-06-10T02:04:00Z</dcterms:created>
  <dc:creator>Administrator</dc:creator>
  <cp:lastModifiedBy>Administrator</cp:lastModifiedBy>
  <cp:lastPrinted>2021-06-10T02:59:00Z</cp:lastPrinted>
  <dcterms:modified xsi:type="dcterms:W3CDTF">2021-06-11T03:07:18Z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E5BA1F80417C43DD8C47B67A04C717C1</vt:lpwstr>
  </property>
</Properties>
</file>